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DocumentFor"/>
      <w:bookmarkEnd w:id="0"/>
      <w:bookmarkStart w:id="1" w:name="Title"/>
      <w:bookmarkEnd w:id="1"/>
      <w:r>
        <w:rPr>
          <w:b/>
        </w:rPr>
        <w:t>3GPP TSG RAN WG2#1</w:t>
      </w:r>
      <w:r>
        <w:rPr>
          <w:rFonts w:hint="eastAsia" w:eastAsia="宋体"/>
          <w:b/>
          <w:lang w:val="en-US" w:eastAsia="zh-CN"/>
        </w:rPr>
        <w:t>25bis</w:t>
      </w:r>
      <w:r>
        <w:rPr>
          <w:b/>
        </w:rPr>
        <w:tab/>
      </w:r>
      <w:r>
        <w:rPr>
          <w:rFonts w:hint="eastAsia"/>
          <w:b/>
        </w:rPr>
        <w:t>R2-2402542</w:t>
      </w:r>
      <w:bookmarkStart w:id="4" w:name="_GoBack"/>
      <w:bookmarkEnd w:id="4"/>
    </w:p>
    <w:p>
      <w:pPr>
        <w:pStyle w:val="56"/>
        <w:jc w:val="left"/>
        <w:rPr>
          <w:rFonts w:hint="eastAsia" w:cs="Arial"/>
          <w:sz w:val="20"/>
        </w:rPr>
      </w:pPr>
      <w:r>
        <w:rPr>
          <w:rFonts w:hint="eastAsia" w:eastAsia="宋体" w:cs="Arial"/>
          <w:sz w:val="20"/>
          <w:lang w:val="en-US" w:eastAsia="zh-CN"/>
        </w:rPr>
        <w:t>Changsha</w:t>
      </w:r>
      <w:r>
        <w:rPr>
          <w:rFonts w:hint="eastAsia" w:cs="Arial"/>
          <w:sz w:val="20"/>
        </w:rPr>
        <w:t xml:space="preserve">, </w:t>
      </w:r>
      <w:r>
        <w:rPr>
          <w:rFonts w:hint="eastAsia" w:eastAsia="宋体" w:cs="Arial"/>
          <w:sz w:val="20"/>
          <w:lang w:val="en-US" w:eastAsia="zh-CN"/>
        </w:rPr>
        <w:t>China</w:t>
      </w:r>
      <w:r>
        <w:rPr>
          <w:rFonts w:hint="eastAsia" w:cs="Arial"/>
          <w:sz w:val="20"/>
        </w:rPr>
        <w:t xml:space="preserve">, </w:t>
      </w:r>
      <w:r>
        <w:rPr>
          <w:rFonts w:hint="eastAsia" w:eastAsia="宋体" w:cs="Arial"/>
          <w:sz w:val="20"/>
          <w:lang w:val="en-US" w:eastAsia="zh-CN"/>
        </w:rPr>
        <w:t>April</w:t>
      </w:r>
      <w:r>
        <w:rPr>
          <w:rFonts w:hint="eastAsia" w:cs="Arial"/>
          <w:sz w:val="20"/>
        </w:rPr>
        <w:t xml:space="preserve"> </w:t>
      </w:r>
      <w:r>
        <w:rPr>
          <w:rFonts w:hint="eastAsia" w:eastAsia="宋体" w:cs="Arial"/>
          <w:sz w:val="20"/>
          <w:lang w:val="en-US" w:eastAsia="zh-CN"/>
        </w:rPr>
        <w:t>15</w:t>
      </w:r>
      <w:r>
        <w:rPr>
          <w:rFonts w:hint="eastAsia" w:cs="Arial"/>
          <w:sz w:val="20"/>
        </w:rPr>
        <w:t xml:space="preserve">th – </w:t>
      </w:r>
      <w:r>
        <w:rPr>
          <w:rFonts w:hint="eastAsia" w:eastAsia="宋体" w:cs="Arial"/>
          <w:sz w:val="20"/>
          <w:lang w:val="en-US" w:eastAsia="zh-CN"/>
        </w:rPr>
        <w:t>April</w:t>
      </w:r>
      <w:r>
        <w:rPr>
          <w:rFonts w:hint="eastAsia" w:cs="Arial"/>
          <w:sz w:val="20"/>
        </w:rPr>
        <w:t xml:space="preserve"> </w:t>
      </w:r>
      <w:r>
        <w:rPr>
          <w:rFonts w:hint="eastAsia" w:eastAsia="宋体" w:cs="Arial"/>
          <w:sz w:val="20"/>
          <w:lang w:val="en-US" w:eastAsia="zh-CN"/>
        </w:rPr>
        <w:t>19</w:t>
      </w:r>
      <w:r>
        <w:rPr>
          <w:rFonts w:hint="eastAsia" w:cs="Arial"/>
          <w:sz w:val="20"/>
        </w:rPr>
        <w:t>th, 2024</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7.7.1</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cs="Arial" w:eastAsiaTheme="minorEastAsia"/>
          <w:sz w:val="20"/>
        </w:rPr>
        <w:t xml:space="preserve">Discussion on </w:t>
      </w:r>
      <w:r>
        <w:rPr>
          <w:rFonts w:hint="eastAsia" w:cs="Arial" w:eastAsiaTheme="minorEastAsia"/>
          <w:sz w:val="20"/>
          <w:lang w:val="en-US" w:eastAsia="zh-CN"/>
        </w:rPr>
        <w:t>reply LS from RAN1 and RAN4 for unchanged PCI</w:t>
      </w:r>
    </w:p>
    <w:p>
      <w:pPr>
        <w:pStyle w:val="56"/>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numPr>
          <w:ilvl w:val="0"/>
          <w:numId w:val="0"/>
        </w:numPr>
        <w:suppressAutoHyphens/>
        <w:adjustRightInd/>
        <w:spacing w:before="120"/>
        <w:rPr>
          <w:rFonts w:hint="eastAsia" w:cs="Arial" w:eastAsiaTheme="minorEastAsia"/>
          <w:i w:val="0"/>
          <w:iCs w:val="0"/>
          <w:lang w:val="en-US" w:eastAsia="zh-CN"/>
        </w:rPr>
      </w:pPr>
      <w:r>
        <w:rPr>
          <w:rFonts w:hint="eastAsia" w:cs="Arial" w:eastAsiaTheme="minorEastAsia"/>
          <w:i w:val="0"/>
          <w:iCs w:val="0"/>
          <w:lang w:val="en-US" w:eastAsia="zh-CN"/>
        </w:rPr>
        <w:t>During last RAN2 meeting, RAN1 and RAN4 discussed the feasibility of UE to perform the downlink synchronization with the target satellite and keep the communication with the source satellite of the same serving cell simultaneously in soft satellite switch asked in RAN2 LS[1] and provided reply LS in [2] and [3] respectively.</w:t>
      </w:r>
    </w:p>
    <w:p>
      <w:pPr>
        <w:numPr>
          <w:ilvl w:val="0"/>
          <w:numId w:val="0"/>
        </w:numPr>
        <w:suppressAutoHyphens/>
        <w:adjustRightInd/>
        <w:spacing w:before="120"/>
        <w:rPr>
          <w:rFonts w:hint="default" w:cs="Arial" w:eastAsiaTheme="minorEastAsia"/>
          <w:i w:val="0"/>
          <w:iCs w:val="0"/>
          <w:lang w:val="en-US" w:eastAsia="zh-CN"/>
        </w:rPr>
      </w:pPr>
      <w:r>
        <w:rPr>
          <w:rFonts w:hint="eastAsia" w:cs="Arial" w:eastAsiaTheme="minorEastAsia"/>
          <w:i w:val="0"/>
          <w:iCs w:val="0"/>
          <w:lang w:val="en-US" w:eastAsia="zh-CN"/>
        </w:rPr>
        <w:t>In this contribution, we would like to provide some considerations on the RAN2 impact based on the reply LS from RAN1 and RAN4.</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The specific reply content from RAN1 and RAN4 are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0"/>
              </w:numPr>
              <w:spacing w:after="180"/>
              <w:rPr>
                <w:rFonts w:hint="default" w:ascii="Arial" w:hAnsi="Arial" w:cs="Arial"/>
                <w:sz w:val="20"/>
                <w:szCs w:val="20"/>
              </w:rPr>
            </w:pPr>
            <w:r>
              <w:rPr>
                <w:rFonts w:hint="eastAsia" w:eastAsia="宋体" w:cs="Arial"/>
                <w:sz w:val="36"/>
                <w:szCs w:val="36"/>
                <w:lang w:val="en-US" w:eastAsia="zh-CN"/>
              </w:rPr>
              <w:t>1.</w:t>
            </w:r>
            <w:r>
              <w:rPr>
                <w:rFonts w:hint="default" w:ascii="Arial" w:hAnsi="Arial" w:cs="Arial"/>
                <w:sz w:val="36"/>
                <w:szCs w:val="36"/>
                <w:lang w:val="en-GB"/>
              </w:rPr>
              <w:t>Overall Description:</w:t>
            </w:r>
          </w:p>
          <w:p>
            <w:pPr>
              <w:rPr>
                <w:rFonts w:hint="default" w:ascii="Arial" w:hAnsi="Arial" w:cs="Arial"/>
                <w:sz w:val="20"/>
                <w:szCs w:val="20"/>
              </w:rPr>
            </w:pPr>
            <w:r>
              <w:rPr>
                <w:rFonts w:hint="default" w:ascii="Arial" w:hAnsi="Arial" w:cs="Arial"/>
                <w:sz w:val="20"/>
                <w:szCs w:val="20"/>
              </w:rPr>
              <w:t>RAN1 thanks RAN2 for the LS on Satellite Switch with Resync.</w:t>
            </w:r>
          </w:p>
          <w:p>
            <w:pPr>
              <w:overflowPunct/>
              <w:snapToGrid w:val="0"/>
              <w:spacing w:before="120" w:after="120"/>
              <w:jc w:val="both"/>
              <w:textAlignment w:val="auto"/>
              <w:rPr>
                <w:rFonts w:hint="default" w:ascii="Arial" w:hAnsi="Arial" w:cs="Arial"/>
                <w:sz w:val="20"/>
                <w:szCs w:val="20"/>
              </w:rPr>
            </w:pPr>
            <w:r>
              <w:rPr>
                <w:rFonts w:hint="default" w:ascii="Arial" w:hAnsi="Arial" w:cs="Arial"/>
                <w:sz w:val="20"/>
                <w:szCs w:val="20"/>
              </w:rPr>
              <w:t>RAN1 would like to provide answer to the following question: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numPr>
                      <w:ilvl w:val="1"/>
                      <w:numId w:val="11"/>
                    </w:numPr>
                    <w:spacing w:before="120" w:after="120" w:line="276" w:lineRule="auto"/>
                    <w:jc w:val="both"/>
                    <w:rPr>
                      <w:rFonts w:hint="default" w:ascii="Arial" w:hAnsi="Arial" w:cs="Arial"/>
                      <w:color w:val="000000" w:themeColor="text1"/>
                      <w:sz w:val="20"/>
                      <w:szCs w:val="20"/>
                      <w:lang w:eastAsia="ko-KR"/>
                      <w14:textFill>
                        <w14:solidFill>
                          <w14:schemeClr w14:val="tx1"/>
                        </w14:solidFill>
                      </w14:textFill>
                    </w:rPr>
                  </w:pPr>
                  <w:r>
                    <w:rPr>
                      <w:rFonts w:hint="default" w:ascii="Arial" w:hAnsi="Arial" w:cs="Arial"/>
                      <w:color w:val="000000" w:themeColor="text1"/>
                      <w:sz w:val="20"/>
                      <w:szCs w:val="20"/>
                      <w:lang w:eastAsia="ko-KR"/>
                      <w14:textFill>
                        <w14:solidFill>
                          <w14:schemeClr w14:val="tx1"/>
                        </w14:solidFill>
                      </w14:textFill>
                    </w:rPr>
                    <w:t xml:space="preserve">For soft satellite switch, RAN2 would like to get feedback on the feasibility that a UE supporting soft satellite switch can start synchronizing to the DL of the SpCell served by the target satellite while still being connected to the source satellite (without any simultaneous communication with the source and the target satellites). </w:t>
                  </w:r>
                </w:p>
                <w:p>
                  <w:pPr>
                    <w:pStyle w:val="30"/>
                    <w:ind w:left="450" w:hanging="450"/>
                    <w:jc w:val="both"/>
                    <w:rPr>
                      <w:rFonts w:hint="default" w:ascii="Arial" w:hAnsi="Arial" w:cs="Arial"/>
                      <w:b/>
                      <w:bCs/>
                      <w:sz w:val="20"/>
                      <w:szCs w:val="20"/>
                      <w:lang w:eastAsia="zh-CN"/>
                    </w:rPr>
                  </w:pPr>
                  <w:r>
                    <w:rPr>
                      <w:rFonts w:hint="default" w:ascii="Arial" w:hAnsi="Arial" w:cs="Arial"/>
                      <w:b/>
                      <w:bCs/>
                      <w:sz w:val="20"/>
                      <w:szCs w:val="20"/>
                      <w:lang w:eastAsia="zh-CN"/>
                    </w:rPr>
                    <w:t>To RAN1</w:t>
                  </w:r>
                </w:p>
                <w:p>
                  <w:pPr>
                    <w:pStyle w:val="30"/>
                    <w:ind w:left="450" w:hanging="450"/>
                    <w:rPr>
                      <w:rFonts w:hint="default" w:ascii="Arial" w:hAnsi="Arial" w:cs="Arial"/>
                      <w:b/>
                      <w:bCs/>
                      <w:sz w:val="20"/>
                      <w:szCs w:val="20"/>
                      <w:lang w:eastAsia="zh-CN"/>
                    </w:rPr>
                  </w:pPr>
                  <w:r>
                    <w:rPr>
                      <w:rFonts w:hint="default" w:ascii="Arial" w:hAnsi="Arial" w:cs="Arial"/>
                      <w:b/>
                      <w:bCs/>
                      <w:sz w:val="20"/>
                      <w:szCs w:val="20"/>
                      <w:lang w:eastAsia="zh-CN"/>
                    </w:rPr>
                    <w:t xml:space="preserve">ACTION:  </w:t>
                  </w:r>
                  <w:r>
                    <w:rPr>
                      <w:rFonts w:hint="default" w:ascii="Arial" w:hAnsi="Arial" w:cs="Arial"/>
                      <w:sz w:val="20"/>
                      <w:szCs w:val="20"/>
                      <w:lang w:eastAsia="zh-CN"/>
                    </w:rPr>
                    <w:t>For the feasibility issue, RAN2 respectfully asks RAN1 to provide feedback if there are any concern.</w:t>
                  </w:r>
                  <w:r>
                    <w:rPr>
                      <w:rFonts w:hint="default" w:ascii="Arial" w:hAnsi="Arial" w:cs="Arial"/>
                      <w:b/>
                      <w:bCs/>
                      <w:sz w:val="20"/>
                      <w:szCs w:val="20"/>
                      <w:lang w:eastAsia="zh-CN"/>
                    </w:rPr>
                    <w:t xml:space="preserve"> </w:t>
                  </w:r>
                </w:p>
              </w:tc>
            </w:tr>
          </w:tbl>
          <w:p>
            <w:pPr>
              <w:spacing w:before="120" w:after="120"/>
              <w:jc w:val="both"/>
              <w:rPr>
                <w:rFonts w:hint="default" w:ascii="Arial" w:hAnsi="Arial" w:cs="Arial"/>
                <w:i/>
                <w:iCs/>
                <w:sz w:val="20"/>
                <w:szCs w:val="20"/>
              </w:rPr>
            </w:pPr>
            <w:r>
              <w:rPr>
                <w:rFonts w:hint="default" w:ascii="Arial" w:hAnsi="Arial" w:eastAsia="Yu Mincho" w:cs="Arial"/>
                <w:b/>
                <w:iCs/>
                <w:sz w:val="20"/>
                <w:szCs w:val="20"/>
                <w:lang w:val="en-US" w:eastAsia="ja-JP"/>
              </w:rPr>
              <w:t>Reply to Question:</w:t>
            </w:r>
          </w:p>
          <w:p>
            <w:pPr>
              <w:numPr>
                <w:ilvl w:val="0"/>
                <w:numId w:val="12"/>
              </w:numPr>
              <w:overflowPunct/>
              <w:snapToGrid w:val="0"/>
              <w:spacing w:before="120" w:after="120"/>
              <w:jc w:val="both"/>
              <w:textAlignment w:val="auto"/>
              <w:rPr>
                <w:rFonts w:hint="default" w:ascii="Arial" w:hAnsi="Arial" w:cs="Arial"/>
                <w:sz w:val="20"/>
                <w:szCs w:val="20"/>
                <w:lang w:val="en-US" w:eastAsia="zh-CN"/>
              </w:rPr>
            </w:pPr>
            <w:r>
              <w:rPr>
                <w:rFonts w:hint="default" w:ascii="Arial" w:hAnsi="Arial" w:cs="Arial"/>
                <w:sz w:val="20"/>
                <w:szCs w:val="20"/>
                <w:lang w:val="en-US" w:eastAsia="zh-CN"/>
              </w:rPr>
              <w:t>From RAN1 perspective, it is feasible that a UE supporting soft satellite switch can start synchronizing to the DL of the SpCell served by the target satellite while still being connected to the source satellite under the following conditions:</w:t>
            </w:r>
          </w:p>
          <w:p>
            <w:pPr>
              <w:numPr>
                <w:ilvl w:val="1"/>
                <w:numId w:val="12"/>
              </w:numPr>
              <w:overflowPunct/>
              <w:snapToGrid w:val="0"/>
              <w:spacing w:before="120" w:after="120"/>
              <w:jc w:val="both"/>
              <w:textAlignment w:val="auto"/>
              <w:rPr>
                <w:rFonts w:hint="default" w:ascii="Arial" w:hAnsi="Arial" w:cs="Arial"/>
                <w:sz w:val="20"/>
                <w:szCs w:val="20"/>
                <w:lang w:val="en-US" w:eastAsia="zh-CN"/>
              </w:rPr>
            </w:pPr>
            <w:r>
              <w:rPr>
                <w:rFonts w:hint="default" w:ascii="Arial" w:hAnsi="Arial" w:cs="Arial"/>
                <w:sz w:val="20"/>
                <w:szCs w:val="20"/>
                <w:lang w:val="en-US" w:eastAsia="zh-CN"/>
              </w:rPr>
              <w:t xml:space="preserve">UE’s reception time of SSB from source satellite and reception time of SSB from destination satellite are not overlapped. (A proper SSB time offset configuration may be required to avoid overlap due to large differential delay.) </w:t>
            </w:r>
          </w:p>
          <w:p>
            <w:pPr>
              <w:numPr>
                <w:ilvl w:val="1"/>
                <w:numId w:val="12"/>
              </w:numPr>
              <w:overflowPunct/>
              <w:snapToGrid w:val="0"/>
              <w:spacing w:before="120" w:after="120"/>
              <w:jc w:val="both"/>
              <w:textAlignment w:val="auto"/>
              <w:rPr>
                <w:rFonts w:hint="default" w:ascii="Arial" w:hAnsi="Arial" w:cs="Arial"/>
                <w:sz w:val="20"/>
                <w:szCs w:val="20"/>
                <w:lang w:val="en-US" w:eastAsia="zh-CN"/>
              </w:rPr>
            </w:pPr>
            <w:r>
              <w:rPr>
                <w:rFonts w:hint="default" w:ascii="Arial" w:hAnsi="Arial" w:cs="Arial"/>
                <w:sz w:val="20"/>
                <w:szCs w:val="20"/>
                <w:lang w:val="en-US" w:eastAsia="zh-CN"/>
              </w:rPr>
              <w:t>If UE’s capability supports maintaining DL synchronization with two satellites.</w:t>
            </w:r>
          </w:p>
          <w:p>
            <w:pPr>
              <w:numPr>
                <w:ilvl w:val="0"/>
                <w:numId w:val="12"/>
              </w:numPr>
              <w:overflowPunct/>
              <w:snapToGrid w:val="0"/>
              <w:spacing w:before="120" w:after="120"/>
              <w:jc w:val="both"/>
              <w:textAlignment w:val="auto"/>
              <w:rPr>
                <w:rFonts w:hint="default" w:eastAsiaTheme="minorEastAsia"/>
                <w:b w:val="0"/>
                <w:bCs/>
                <w:vertAlign w:val="baseline"/>
                <w:lang w:val="en-US" w:eastAsia="zh-CN"/>
              </w:rPr>
            </w:pPr>
            <w:r>
              <w:rPr>
                <w:rFonts w:hint="default" w:ascii="Arial" w:hAnsi="Arial" w:cs="Arial"/>
                <w:sz w:val="20"/>
                <w:szCs w:val="20"/>
                <w:lang w:val="en-US" w:eastAsia="zh-CN"/>
              </w:rPr>
              <w:t>Otherwise, it is infeasible.</w:t>
            </w:r>
          </w:p>
        </w:tc>
      </w:tr>
    </w:tbl>
    <w:p>
      <w:pPr>
        <w:pStyle w:val="60"/>
        <w:spacing w:after="0"/>
        <w:ind w:left="0" w:firstLine="0"/>
        <w:rPr>
          <w:rFonts w:hint="default" w:eastAsiaTheme="minorEastAsia"/>
          <w:b w:val="0"/>
          <w:bCs/>
          <w:lang w:val="en-US" w:eastAsia="zh-CN"/>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13"/>
              </w:numPr>
              <w:spacing w:after="180"/>
              <w:rPr>
                <w:rFonts w:hint="default" w:ascii="Arial" w:hAnsi="Arial" w:cs="Arial"/>
                <w:sz w:val="36"/>
                <w:szCs w:val="36"/>
                <w:lang w:val="en-GB"/>
              </w:rPr>
            </w:pPr>
            <w:r>
              <w:rPr>
                <w:rFonts w:hint="default" w:ascii="Arial" w:hAnsi="Arial" w:cs="Arial"/>
                <w:sz w:val="36"/>
                <w:szCs w:val="36"/>
                <w:lang w:val="en-GB"/>
              </w:rPr>
              <w:t>Overall Description:</w:t>
            </w:r>
          </w:p>
          <w:p>
            <w:pPr>
              <w:spacing w:after="180"/>
              <w:rPr>
                <w:rFonts w:hint="default" w:ascii="Arial" w:hAnsi="Arial" w:cs="Arial"/>
                <w:sz w:val="20"/>
                <w:szCs w:val="20"/>
                <w:lang w:val="en-GB"/>
              </w:rPr>
            </w:pPr>
            <w:r>
              <w:rPr>
                <w:rFonts w:hint="default" w:ascii="Arial" w:hAnsi="Arial" w:cs="Arial"/>
                <w:sz w:val="20"/>
                <w:szCs w:val="20"/>
                <w:lang w:val="en-GB"/>
              </w:rPr>
              <w:t>RAN4 would like to thank RAN2 for the LS on RAN2 agreements for satellite switch with resync. RAN4 #110 had discussion on the feasibility of UE to perform the downlink synchronization with the target satellite and keep the communication with the source satellite of the same serving cell simultaneously in soft satellite switch. Following conclusion have been achieved:</w:t>
            </w:r>
          </w:p>
          <w:p>
            <w:pPr>
              <w:pStyle w:val="109"/>
              <w:widowControl/>
              <w:numPr>
                <w:ilvl w:val="0"/>
                <w:numId w:val="14"/>
              </w:numPr>
              <w:overflowPunct w:val="0"/>
              <w:autoSpaceDE w:val="0"/>
              <w:autoSpaceDN w:val="0"/>
              <w:adjustRightInd w:val="0"/>
              <w:spacing w:after="180" w:line="276" w:lineRule="auto"/>
              <w:ind w:firstLineChars="0"/>
              <w:textAlignment w:val="baseline"/>
              <w:rPr>
                <w:rFonts w:hint="default" w:ascii="Arial" w:hAnsi="Arial" w:cs="Arial"/>
                <w:sz w:val="20"/>
                <w:szCs w:val="20"/>
                <w:lang w:eastAsia="ja-JP"/>
              </w:rPr>
            </w:pPr>
            <w:r>
              <w:rPr>
                <w:rFonts w:hint="default" w:ascii="Arial" w:hAnsi="Arial" w:cs="Arial"/>
                <w:sz w:val="20"/>
                <w:szCs w:val="20"/>
                <w:lang w:eastAsia="ja-JP"/>
              </w:rPr>
              <w:t>It is feasible that a soft satellite switch capable UE can perform downlink synchronization with the target NGSO satellite and keep the connection (DL and UL) with the source NGSO satellite simultaneously under the following conditions.</w:t>
            </w:r>
          </w:p>
          <w:p>
            <w:pPr>
              <w:pStyle w:val="109"/>
              <w:widowControl/>
              <w:numPr>
                <w:ilvl w:val="1"/>
                <w:numId w:val="14"/>
              </w:numPr>
              <w:overflowPunct w:val="0"/>
              <w:autoSpaceDE w:val="0"/>
              <w:autoSpaceDN w:val="0"/>
              <w:adjustRightInd w:val="0"/>
              <w:spacing w:after="180" w:line="276" w:lineRule="auto"/>
              <w:ind w:firstLineChars="0"/>
              <w:textAlignment w:val="baseline"/>
              <w:rPr>
                <w:rFonts w:hint="default" w:ascii="Arial" w:hAnsi="Arial" w:cs="Arial"/>
                <w:sz w:val="20"/>
                <w:szCs w:val="20"/>
                <w:lang w:eastAsia="ja-JP"/>
              </w:rPr>
            </w:pPr>
            <w:r>
              <w:rPr>
                <w:rFonts w:hint="default" w:ascii="Arial" w:hAnsi="Arial" w:cs="Arial"/>
                <w:sz w:val="20"/>
                <w:szCs w:val="20"/>
                <w:lang w:eastAsia="ja-JP"/>
              </w:rPr>
              <w:t>Only if SSBs from the two satellites are spaced apart from each other at least by 1 OFDM symbol in the time domain at UE Rx side.</w:t>
            </w:r>
          </w:p>
          <w:p>
            <w:pPr>
              <w:pStyle w:val="109"/>
              <w:widowControl/>
              <w:numPr>
                <w:ilvl w:val="0"/>
                <w:numId w:val="14"/>
              </w:numPr>
              <w:overflowPunct w:val="0"/>
              <w:autoSpaceDE w:val="0"/>
              <w:autoSpaceDN w:val="0"/>
              <w:adjustRightInd w:val="0"/>
              <w:spacing w:after="180" w:line="276" w:lineRule="auto"/>
              <w:ind w:firstLineChars="0"/>
              <w:textAlignment w:val="baseline"/>
              <w:rPr>
                <w:rFonts w:hint="default" w:ascii="Arial" w:hAnsi="Arial" w:cs="Arial"/>
                <w:sz w:val="20"/>
                <w:szCs w:val="20"/>
                <w:lang w:eastAsia="ja-JP"/>
              </w:rPr>
            </w:pPr>
            <w:r>
              <w:rPr>
                <w:rFonts w:hint="default" w:ascii="Arial" w:hAnsi="Arial" w:cs="Arial"/>
                <w:sz w:val="20"/>
                <w:szCs w:val="20"/>
                <w:lang w:val="en-GB" w:eastAsia="ja-JP"/>
              </w:rPr>
              <w:t xml:space="preserve">If the UE starts </w:t>
            </w:r>
            <w:r>
              <w:rPr>
                <w:rFonts w:hint="default" w:ascii="Arial" w:hAnsi="Arial" w:cs="Arial"/>
                <w:sz w:val="20"/>
                <w:szCs w:val="20"/>
                <w:lang w:val="en-GB" w:eastAsia="zh-CN"/>
              </w:rPr>
              <w:t>synchroni</w:t>
            </w:r>
            <w:r>
              <w:rPr>
                <w:rFonts w:hint="default" w:ascii="Arial" w:hAnsi="Arial" w:cs="Arial"/>
                <w:sz w:val="20"/>
                <w:szCs w:val="20"/>
                <w:lang w:val="en-US" w:eastAsia="zh-CN"/>
              </w:rPr>
              <w:t xml:space="preserve">zation to a different satellite from T-ServiceStart, scheduling restriction </w:t>
            </w:r>
            <w:r>
              <w:rPr>
                <w:rFonts w:hint="default" w:ascii="Arial" w:hAnsi="Arial" w:cs="Arial"/>
                <w:sz w:val="20"/>
                <w:szCs w:val="20"/>
                <w:lang w:val="en-GB" w:eastAsia="ja-JP"/>
              </w:rPr>
              <w:t>is expected, if:</w:t>
            </w:r>
          </w:p>
          <w:p>
            <w:pPr>
              <w:pStyle w:val="109"/>
              <w:widowControl/>
              <w:numPr>
                <w:ilvl w:val="1"/>
                <w:numId w:val="14"/>
              </w:numPr>
              <w:overflowPunct w:val="0"/>
              <w:autoSpaceDE w:val="0"/>
              <w:autoSpaceDN w:val="0"/>
              <w:adjustRightInd w:val="0"/>
              <w:spacing w:after="180" w:line="276" w:lineRule="auto"/>
              <w:ind w:firstLineChars="0"/>
              <w:textAlignment w:val="baseline"/>
              <w:rPr>
                <w:rFonts w:hint="default" w:ascii="Arial" w:hAnsi="Arial" w:cs="Arial"/>
                <w:sz w:val="20"/>
                <w:szCs w:val="20"/>
                <w:lang w:eastAsia="ja-JP"/>
              </w:rPr>
            </w:pPr>
            <w:r>
              <w:rPr>
                <w:rFonts w:hint="default" w:ascii="Arial" w:hAnsi="Arial" w:cs="Arial"/>
                <w:sz w:val="20"/>
                <w:szCs w:val="20"/>
                <w:lang w:val="en-GB" w:eastAsia="ja-JP"/>
              </w:rPr>
              <w:t>the UE is not capable of</w:t>
            </w:r>
            <w:r>
              <w:rPr>
                <w:rFonts w:hint="default" w:ascii="Arial" w:hAnsi="Arial" w:cs="Arial"/>
                <w:i/>
                <w:iCs/>
                <w:sz w:val="20"/>
                <w:szCs w:val="20"/>
                <w:lang w:val="en-GB" w:eastAsia="ja-JP"/>
              </w:rPr>
              <w:t xml:space="preserve"> p</w:t>
            </w:r>
            <w:r>
              <w:rPr>
                <w:rFonts w:hint="default" w:ascii="Arial" w:hAnsi="Arial" w:cs="Arial"/>
                <w:i/>
                <w:iCs/>
                <w:sz w:val="20"/>
                <w:szCs w:val="20"/>
                <w:lang w:eastAsia="ja-JP"/>
              </w:rPr>
              <w:t>arallelMeasurementWithoutRestriction-r17,</w:t>
            </w:r>
            <w:r>
              <w:rPr>
                <w:rFonts w:hint="default" w:ascii="Arial" w:hAnsi="Arial" w:cs="Arial"/>
                <w:i/>
                <w:iCs/>
                <w:sz w:val="20"/>
                <w:szCs w:val="20"/>
                <w:lang w:val="en-GB" w:eastAsia="ja-JP"/>
              </w:rPr>
              <w:t xml:space="preserve"> or</w:t>
            </w:r>
          </w:p>
          <w:p>
            <w:pPr>
              <w:pStyle w:val="109"/>
              <w:widowControl/>
              <w:numPr>
                <w:ilvl w:val="1"/>
                <w:numId w:val="14"/>
              </w:numPr>
              <w:overflowPunct w:val="0"/>
              <w:autoSpaceDE w:val="0"/>
              <w:autoSpaceDN w:val="0"/>
              <w:adjustRightInd w:val="0"/>
              <w:spacing w:after="180" w:line="276" w:lineRule="auto"/>
              <w:ind w:firstLineChars="0"/>
              <w:textAlignment w:val="baseline"/>
              <w:rPr>
                <w:rFonts w:hint="default" w:ascii="Arial" w:hAnsi="Arial" w:cs="Arial"/>
                <w:sz w:val="20"/>
                <w:szCs w:val="20"/>
                <w:lang w:eastAsia="ja-JP"/>
              </w:rPr>
            </w:pPr>
            <w:r>
              <w:rPr>
                <w:rFonts w:hint="default" w:ascii="Arial" w:hAnsi="Arial" w:cs="Arial"/>
                <w:sz w:val="20"/>
                <w:szCs w:val="20"/>
                <w:lang w:val="en-GB" w:eastAsia="ja-JP"/>
              </w:rPr>
              <w:t xml:space="preserve">the UE is not capable of </w:t>
            </w:r>
            <w:r>
              <w:rPr>
                <w:rFonts w:hint="default" w:ascii="Arial" w:hAnsi="Arial" w:cs="Arial"/>
                <w:i/>
                <w:iCs/>
                <w:sz w:val="20"/>
                <w:szCs w:val="20"/>
                <w:lang w:val="en-US" w:eastAsia="zh-CN"/>
              </w:rPr>
              <w:t xml:space="preserve">simultaneousRxDataSSB-DiffNumerology </w:t>
            </w:r>
            <w:r>
              <w:rPr>
                <w:rFonts w:hint="default" w:ascii="Arial" w:hAnsi="Arial" w:cs="Arial"/>
                <w:sz w:val="20"/>
                <w:szCs w:val="20"/>
                <w:lang w:val="en-US" w:eastAsia="zh-CN"/>
              </w:rPr>
              <w:t>but the SSB has a different SCS than PDCCH/PDSCH</w:t>
            </w:r>
          </w:p>
          <w:p>
            <w:pPr>
              <w:pStyle w:val="109"/>
              <w:widowControl/>
              <w:numPr>
                <w:ilvl w:val="1"/>
                <w:numId w:val="14"/>
              </w:numPr>
              <w:overflowPunct w:val="0"/>
              <w:autoSpaceDE w:val="0"/>
              <w:autoSpaceDN w:val="0"/>
              <w:adjustRightInd w:val="0"/>
              <w:spacing w:after="180" w:line="276" w:lineRule="auto"/>
              <w:ind w:firstLineChars="0"/>
              <w:textAlignment w:val="baseline"/>
              <w:rPr>
                <w:rFonts w:hint="default" w:eastAsiaTheme="minorEastAsia"/>
                <w:b w:val="0"/>
                <w:bCs/>
                <w:vertAlign w:val="baseline"/>
                <w:lang w:val="en-US" w:eastAsia="zh-CN"/>
              </w:rPr>
            </w:pPr>
            <w:r>
              <w:rPr>
                <w:rFonts w:hint="default" w:ascii="Arial" w:hAnsi="Arial" w:cs="Arial"/>
                <w:sz w:val="20"/>
                <w:szCs w:val="20"/>
                <w:lang w:val="en-US" w:eastAsia="zh-CN"/>
              </w:rPr>
              <w:t>Note: RAN4 is investigating how to minimize the duration of the scheduling restriction.</w:t>
            </w:r>
          </w:p>
        </w:tc>
      </w:tr>
    </w:tbl>
    <w:p>
      <w:pPr>
        <w:pStyle w:val="60"/>
        <w:spacing w:after="0"/>
        <w:ind w:left="0" w:firstLine="0"/>
        <w:rPr>
          <w:rFonts w:hint="eastAsia" w:eastAsiaTheme="minorEastAsia"/>
          <w:b w:val="0"/>
          <w:bCs/>
          <w:lang w:val="en-US" w:eastAsia="zh-CN"/>
        </w:rPr>
      </w:pPr>
    </w:p>
    <w:p>
      <w:pPr>
        <w:pStyle w:val="60"/>
        <w:spacing w:after="0"/>
        <w:ind w:left="0" w:firstLine="0"/>
        <w:rPr>
          <w:rFonts w:hint="default" w:eastAsiaTheme="minorEastAsia"/>
          <w:b w:val="0"/>
          <w:bCs/>
          <w:lang w:val="en-US" w:eastAsia="zh-CN"/>
        </w:rPr>
      </w:pPr>
      <w:r>
        <w:rPr>
          <w:rFonts w:hint="eastAsia" w:eastAsiaTheme="minorEastAsia"/>
          <w:b w:val="0"/>
          <w:bCs/>
          <w:lang w:val="en-US" w:eastAsia="zh-CN"/>
        </w:rPr>
        <w:t>In the RAN1 reply LS, it indicates that it is UE</w:t>
      </w:r>
      <w:r>
        <w:rPr>
          <w:rFonts w:hint="default" w:eastAsiaTheme="minorEastAsia"/>
          <w:b w:val="0"/>
          <w:bCs/>
          <w:lang w:val="en-US" w:eastAsia="zh-CN"/>
        </w:rPr>
        <w:t>’</w:t>
      </w:r>
      <w:r>
        <w:rPr>
          <w:rFonts w:hint="eastAsia" w:eastAsiaTheme="minorEastAsia"/>
          <w:b w:val="0"/>
          <w:bCs/>
          <w:lang w:val="en-US" w:eastAsia="zh-CN"/>
        </w:rPr>
        <w:t xml:space="preserve">s capability to support maintaining DL synchronization with two satellites. And in RAN4 reply LS, two UE capabilities </w:t>
      </w:r>
      <w:r>
        <w:rPr>
          <w:rFonts w:hint="default" w:ascii="Arial" w:hAnsi="Arial" w:cs="Arial"/>
          <w:i/>
          <w:iCs/>
          <w:sz w:val="20"/>
          <w:szCs w:val="20"/>
          <w:lang w:val="en-GB" w:eastAsia="ja-JP"/>
        </w:rPr>
        <w:t>p</w:t>
      </w:r>
      <w:r>
        <w:rPr>
          <w:rFonts w:hint="default" w:ascii="Arial" w:hAnsi="Arial" w:cs="Arial"/>
          <w:i/>
          <w:iCs/>
          <w:sz w:val="20"/>
          <w:szCs w:val="20"/>
          <w:lang w:eastAsia="ja-JP"/>
        </w:rPr>
        <w:t>arallelMeasurementWithoutRestriction-r17</w:t>
      </w:r>
      <w:r>
        <w:rPr>
          <w:rFonts w:hint="eastAsia" w:eastAsia="宋体" w:cs="Arial"/>
          <w:i/>
          <w:iCs/>
          <w:sz w:val="20"/>
          <w:szCs w:val="20"/>
          <w:lang w:val="en-US" w:eastAsia="zh-CN"/>
        </w:rPr>
        <w:t xml:space="preserve"> </w:t>
      </w:r>
      <w:r>
        <w:rPr>
          <w:rFonts w:hint="eastAsia" w:eastAsia="宋体" w:cs="Arial"/>
          <w:i w:val="0"/>
          <w:iCs w:val="0"/>
          <w:sz w:val="20"/>
          <w:szCs w:val="20"/>
          <w:lang w:val="en-US" w:eastAsia="zh-CN"/>
        </w:rPr>
        <w:t xml:space="preserve">and </w:t>
      </w:r>
      <w:r>
        <w:rPr>
          <w:rFonts w:hint="default" w:ascii="Arial" w:hAnsi="Arial" w:cs="Arial"/>
          <w:i/>
          <w:iCs/>
          <w:sz w:val="20"/>
          <w:szCs w:val="20"/>
          <w:lang w:val="en-US" w:eastAsia="zh-CN"/>
        </w:rPr>
        <w:t>simultaneousRxDataSSB-DiffNumerology</w:t>
      </w:r>
      <w:r>
        <w:rPr>
          <w:rFonts w:hint="eastAsia" w:cs="Arial"/>
          <w:i/>
          <w:iCs/>
          <w:sz w:val="20"/>
          <w:szCs w:val="20"/>
          <w:lang w:val="en-US" w:eastAsia="zh-CN"/>
        </w:rPr>
        <w:t xml:space="preserve"> </w:t>
      </w:r>
      <w:r>
        <w:rPr>
          <w:rFonts w:hint="eastAsia" w:eastAsiaTheme="minorEastAsia"/>
          <w:b w:val="0"/>
          <w:bCs/>
          <w:lang w:val="en-US" w:eastAsia="zh-CN"/>
        </w:rPr>
        <w:t xml:space="preserve">are provided, both are already in the current RAN2 and RAN4 spec. Respectively. Then regarding the </w:t>
      </w:r>
      <w:r>
        <w:rPr>
          <w:rFonts w:hint="default" w:ascii="Arial" w:hAnsi="Arial" w:cs="Arial"/>
          <w:sz w:val="20"/>
          <w:szCs w:val="20"/>
          <w:lang w:val="en-US" w:eastAsia="zh-CN"/>
        </w:rPr>
        <w:t>scheduling restriction</w:t>
      </w:r>
      <w:r>
        <w:rPr>
          <w:rFonts w:hint="eastAsia" w:cs="Arial"/>
          <w:sz w:val="20"/>
          <w:szCs w:val="20"/>
          <w:lang w:val="en-US" w:eastAsia="zh-CN"/>
        </w:rPr>
        <w:t xml:space="preserve"> mentioned by RAN4, it is scope RAN4.</w:t>
      </w:r>
    </w:p>
    <w:p>
      <w:pPr>
        <w:pStyle w:val="60"/>
        <w:spacing w:after="0"/>
        <w:ind w:left="0" w:firstLine="0"/>
        <w:rPr>
          <w:rFonts w:hint="default" w:eastAsiaTheme="minorEastAsia"/>
          <w:b w:val="0"/>
          <w:bCs/>
          <w:lang w:val="en-US" w:eastAsia="zh-CN"/>
        </w:rPr>
      </w:pPr>
      <w:r>
        <w:rPr>
          <w:rFonts w:hint="eastAsia" w:eastAsiaTheme="minorEastAsia"/>
          <w:b w:val="0"/>
          <w:bCs/>
          <w:lang w:val="en-US" w:eastAsia="zh-CN"/>
        </w:rPr>
        <w:t xml:space="preserve">Therefore, to support UE to perform the downlink synchronization with the target satellite and keep the communication with the source satellite of the same serving cell simultaneously in soft satellite switch, there is no additional specification work for RAN2. </w:t>
      </w:r>
    </w:p>
    <w:p>
      <w:pPr>
        <w:pStyle w:val="60"/>
        <w:spacing w:after="0"/>
        <w:ind w:left="0" w:firstLine="0"/>
        <w:rPr>
          <w:rFonts w:hint="default" w:eastAsiaTheme="minorEastAsia"/>
          <w:b w:val="0"/>
          <w:bCs/>
          <w:lang w:val="en-US" w:eastAsia="zh-CN"/>
        </w:rPr>
      </w:pPr>
      <w:r>
        <w:rPr>
          <w:rFonts w:hint="eastAsia" w:eastAsiaTheme="minorEastAsia"/>
          <w:b/>
          <w:bCs w:val="0"/>
          <w:lang w:val="en-US" w:eastAsia="zh-CN"/>
        </w:rPr>
        <w:t>Proposal 1: No additional specification work for RAN2 is needed to support UE to perform the downlink synchronization with the target satellite and keep the communication with the source satellite of the same serving cell simultaneously in soft satellite switch based on the reply LS from RAN1 and RAN4.</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cs="Arial" w:eastAsiaTheme="minorEastAsia"/>
          <w:sz w:val="20"/>
          <w:lang w:val="en-US" w:eastAsia="zh-CN"/>
        </w:rPr>
        <w:t>LS from RAN1 and RAN4 for unchanged PCI</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eastAsia="宋体" w:cs="Arial"/>
        </w:rPr>
      </w:pPr>
      <w:r>
        <w:rPr>
          <w:rFonts w:hint="eastAsia" w:eastAsiaTheme="minorEastAsia"/>
          <w:b/>
          <w:bCs w:val="0"/>
          <w:lang w:val="en-US" w:eastAsia="zh-CN"/>
        </w:rPr>
        <w:t>Proposal 1: No additional specification work for RAN2 is needed to support UE to perform the downlink synchronization with the target satellite and keep the communication with the source satellite of the same serving cell simultaneously in soft satellite switch based on the reply LS from RAN1 and RAN4.</w:t>
      </w:r>
    </w:p>
    <w:p>
      <w:pPr>
        <w:pStyle w:val="2"/>
        <w:rPr>
          <w:rFonts w:cs="Arial"/>
          <w:sz w:val="32"/>
          <w:szCs w:val="32"/>
        </w:rPr>
      </w:pPr>
      <w:r>
        <w:rPr>
          <w:rFonts w:cs="Arial"/>
          <w:sz w:val="32"/>
          <w:szCs w:val="32"/>
        </w:rPr>
        <w:t>Reference</w:t>
      </w:r>
    </w:p>
    <w:p>
      <w:pPr>
        <w:pStyle w:val="27"/>
        <w:numPr>
          <w:ilvl w:val="0"/>
          <w:numId w:val="15"/>
        </w:numPr>
        <w:overflowPunct/>
        <w:autoSpaceDE/>
        <w:autoSpaceDN/>
        <w:adjustRightInd/>
        <w:spacing w:beforeLines="50" w:after="0"/>
        <w:jc w:val="left"/>
        <w:textAlignment w:val="auto"/>
        <w:rPr>
          <w:rFonts w:hint="eastAsia" w:eastAsia="宋体"/>
          <w:sz w:val="20"/>
          <w:szCs w:val="20"/>
          <w:lang w:val="en-US" w:eastAsia="zh-CN"/>
        </w:rPr>
      </w:pPr>
      <w:bookmarkStart w:id="3" w:name="_In-sequence_SDU_delivery"/>
      <w:bookmarkEnd w:id="3"/>
      <w:r>
        <w:rPr>
          <w:rFonts w:hint="eastAsia"/>
          <w:sz w:val="20"/>
          <w:szCs w:val="20"/>
        </w:rPr>
        <w:t>R2-2314016</w:t>
      </w:r>
      <w:r>
        <w:rPr>
          <w:rFonts w:hint="eastAsia" w:eastAsia="宋体"/>
          <w:sz w:val="20"/>
          <w:szCs w:val="20"/>
          <w:lang w:val="en-US" w:eastAsia="zh-CN"/>
        </w:rPr>
        <w:t xml:space="preserve"> LS on RAN2 agreements for satellite switch with resync</w:t>
      </w:r>
    </w:p>
    <w:p>
      <w:pPr>
        <w:pStyle w:val="27"/>
        <w:numPr>
          <w:ilvl w:val="0"/>
          <w:numId w:val="15"/>
        </w:numPr>
        <w:overflowPunct/>
        <w:autoSpaceDE/>
        <w:autoSpaceDN/>
        <w:adjustRightInd/>
        <w:spacing w:beforeLines="50" w:after="0"/>
        <w:jc w:val="left"/>
        <w:textAlignment w:val="auto"/>
        <w:rPr>
          <w:rFonts w:hint="eastAsia" w:eastAsia="宋体"/>
          <w:sz w:val="20"/>
          <w:szCs w:val="20"/>
          <w:lang w:val="en-US" w:eastAsia="zh-CN"/>
        </w:rPr>
      </w:pPr>
      <w:r>
        <w:rPr>
          <w:rFonts w:hint="eastAsia" w:eastAsia="宋体"/>
          <w:sz w:val="20"/>
          <w:szCs w:val="20"/>
          <w:lang w:val="en-US" w:eastAsia="zh-CN"/>
        </w:rPr>
        <w:t>R2-2401707_R1-2401748 Reply LS on Satellite Switch with Resync</w:t>
      </w:r>
    </w:p>
    <w:p>
      <w:pPr>
        <w:pStyle w:val="27"/>
        <w:numPr>
          <w:ilvl w:val="0"/>
          <w:numId w:val="15"/>
        </w:numPr>
        <w:overflowPunct/>
        <w:autoSpaceDE/>
        <w:autoSpaceDN/>
        <w:adjustRightInd/>
        <w:spacing w:beforeLines="50" w:after="0"/>
        <w:jc w:val="left"/>
        <w:textAlignment w:val="auto"/>
        <w:rPr>
          <w:rFonts w:hint="eastAsia" w:eastAsia="宋体"/>
          <w:sz w:val="20"/>
          <w:szCs w:val="20"/>
          <w:lang w:val="en-US" w:eastAsia="zh-CN"/>
        </w:rPr>
      </w:pPr>
      <w:r>
        <w:rPr>
          <w:rFonts w:hint="eastAsia" w:eastAsia="宋体"/>
          <w:sz w:val="20"/>
          <w:szCs w:val="20"/>
          <w:lang w:val="en-US" w:eastAsia="zh-CN"/>
        </w:rPr>
        <w:t>R4-2403493 Reply LS on satellite switch with resync</w:t>
      </w:r>
    </w:p>
    <w:p>
      <w:pPr>
        <w:pStyle w:val="27"/>
        <w:numPr>
          <w:ilvl w:val="0"/>
          <w:numId w:val="0"/>
        </w:numPr>
        <w:overflowPunct/>
        <w:autoSpaceDE/>
        <w:autoSpaceDN/>
        <w:adjustRightInd/>
        <w:spacing w:beforeLines="50" w:after="0"/>
        <w:jc w:val="left"/>
        <w:textAlignment w:val="auto"/>
        <w:rPr>
          <w:rFonts w:hint="eastAsia"/>
          <w:sz w:val="20"/>
          <w:szCs w:val="20"/>
        </w:rPr>
      </w:pPr>
    </w:p>
    <w:p>
      <w:pPr>
        <w:pStyle w:val="27"/>
        <w:numPr>
          <w:ilvl w:val="0"/>
          <w:numId w:val="0"/>
        </w:numPr>
        <w:overflowPunct/>
        <w:autoSpaceDE/>
        <w:autoSpaceDN/>
        <w:adjustRightInd/>
        <w:spacing w:beforeLines="50" w:after="0"/>
        <w:jc w:val="left"/>
        <w:textAlignment w:val="auto"/>
        <w:rPr>
          <w:rFonts w:hint="eastAsia"/>
          <w:sz w:val="20"/>
          <w:szCs w:val="20"/>
        </w:rPr>
      </w:pPr>
    </w:p>
    <w:p>
      <w:pPr>
        <w:pStyle w:val="27"/>
        <w:numPr>
          <w:ilvl w:val="0"/>
          <w:numId w:val="0"/>
        </w:numPr>
        <w:overflowPunct/>
        <w:autoSpaceDE/>
        <w:autoSpaceDN/>
        <w:adjustRightInd/>
        <w:spacing w:beforeLines="50" w:after="0"/>
        <w:jc w:val="left"/>
        <w:textAlignment w:val="auto"/>
        <w:rPr>
          <w:rFonts w:hint="eastAsia"/>
          <w:sz w:val="20"/>
          <w:szCs w:val="20"/>
        </w:rPr>
      </w:pPr>
    </w:p>
    <w:p>
      <w:pPr>
        <w:pStyle w:val="27"/>
        <w:numPr>
          <w:ilvl w:val="0"/>
          <w:numId w:val="0"/>
        </w:numPr>
        <w:overflowPunct/>
        <w:autoSpaceDE/>
        <w:autoSpaceDN/>
        <w:adjustRightInd/>
        <w:spacing w:beforeLines="50" w:after="0"/>
        <w:jc w:val="left"/>
        <w:textAlignment w:val="auto"/>
        <w:rPr>
          <w:rFonts w:hint="eastAsia"/>
          <w:sz w:val="20"/>
          <w:szCs w:val="20"/>
        </w:rPr>
      </w:pPr>
    </w:p>
    <w:sectPr>
      <w:headerReference r:id="rId4" w:type="default"/>
      <w:footerReference r:id="rId5" w:type="default"/>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3C8C5B"/>
    <w:multiLevelType w:val="singleLevel"/>
    <w:tmpl w:val="893C8C5B"/>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0DD1D2B"/>
    <w:multiLevelType w:val="multilevel"/>
    <w:tmpl w:val="10DD1D2B"/>
    <w:lvl w:ilvl="0" w:tentative="0">
      <w:start w:val="1"/>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BAF3E08"/>
    <w:multiLevelType w:val="multilevel"/>
    <w:tmpl w:val="1BAF3E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4F37C68"/>
    <w:multiLevelType w:val="singleLevel"/>
    <w:tmpl w:val="24F37C68"/>
    <w:lvl w:ilvl="0" w:tentative="0">
      <w:start w:val="1"/>
      <w:numFmt w:val="decimal"/>
      <w:suff w:val="space"/>
      <w:lvlText w:val="%1."/>
      <w:lvlJc w:val="left"/>
    </w:lvl>
  </w:abstractNum>
  <w:abstractNum w:abstractNumId="5">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6"/>
  </w:num>
  <w:num w:numId="3">
    <w:abstractNumId w:val="12"/>
  </w:num>
  <w:num w:numId="4">
    <w:abstractNumId w:val="9"/>
  </w:num>
  <w:num w:numId="5">
    <w:abstractNumId w:val="5"/>
  </w:num>
  <w:num w:numId="6">
    <w:abstractNumId w:val="8"/>
  </w:num>
  <w:num w:numId="7">
    <w:abstractNumId w:val="10"/>
  </w:num>
  <w:num w:numId="8">
    <w:abstractNumId w:val="7"/>
  </w:num>
  <w:num w:numId="9">
    <w:abstractNumId w:val="11"/>
  </w:num>
  <w:num w:numId="10">
    <w:abstractNumId w:val="14"/>
  </w:num>
  <w:num w:numId="11">
    <w:abstractNumId w:val="2"/>
  </w:num>
  <w:num w:numId="12">
    <w:abstractNumId w:val="3"/>
  </w:num>
  <w:num w:numId="13">
    <w:abstractNumId w:val="4"/>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22F4B03"/>
    <w:rsid w:val="02744528"/>
    <w:rsid w:val="02AA4008"/>
    <w:rsid w:val="02CC0A1F"/>
    <w:rsid w:val="02F00A4C"/>
    <w:rsid w:val="03A11802"/>
    <w:rsid w:val="03F47F88"/>
    <w:rsid w:val="048A5003"/>
    <w:rsid w:val="04B403C6"/>
    <w:rsid w:val="04BC080F"/>
    <w:rsid w:val="04F50E2F"/>
    <w:rsid w:val="054257FA"/>
    <w:rsid w:val="05606A49"/>
    <w:rsid w:val="05983EBC"/>
    <w:rsid w:val="05E72358"/>
    <w:rsid w:val="06261BBF"/>
    <w:rsid w:val="062937AB"/>
    <w:rsid w:val="0654248D"/>
    <w:rsid w:val="06565EAE"/>
    <w:rsid w:val="0685275E"/>
    <w:rsid w:val="078C1F33"/>
    <w:rsid w:val="07A263C2"/>
    <w:rsid w:val="07B959B1"/>
    <w:rsid w:val="07EF7893"/>
    <w:rsid w:val="083F0917"/>
    <w:rsid w:val="0841118C"/>
    <w:rsid w:val="08753F84"/>
    <w:rsid w:val="08AF444E"/>
    <w:rsid w:val="09133D3D"/>
    <w:rsid w:val="0A1A51CE"/>
    <w:rsid w:val="0A531277"/>
    <w:rsid w:val="0A5E3E3C"/>
    <w:rsid w:val="0A6C703A"/>
    <w:rsid w:val="0A9740DA"/>
    <w:rsid w:val="0ACC0F45"/>
    <w:rsid w:val="0B4A1814"/>
    <w:rsid w:val="0B4D66D9"/>
    <w:rsid w:val="0B510D2F"/>
    <w:rsid w:val="0B9F055D"/>
    <w:rsid w:val="0BD60B5C"/>
    <w:rsid w:val="0CAE5B2E"/>
    <w:rsid w:val="0D28105B"/>
    <w:rsid w:val="0D524167"/>
    <w:rsid w:val="0D681ED9"/>
    <w:rsid w:val="0D6C179F"/>
    <w:rsid w:val="0DDB664A"/>
    <w:rsid w:val="0E891356"/>
    <w:rsid w:val="0E933FBC"/>
    <w:rsid w:val="0E997EF0"/>
    <w:rsid w:val="0EC440FF"/>
    <w:rsid w:val="0EF139CD"/>
    <w:rsid w:val="0FCC0A5A"/>
    <w:rsid w:val="0FE0018D"/>
    <w:rsid w:val="10221AC0"/>
    <w:rsid w:val="11043CD0"/>
    <w:rsid w:val="110F10D1"/>
    <w:rsid w:val="1120304D"/>
    <w:rsid w:val="117F536F"/>
    <w:rsid w:val="11B82D63"/>
    <w:rsid w:val="11C5063A"/>
    <w:rsid w:val="127E544A"/>
    <w:rsid w:val="12B27083"/>
    <w:rsid w:val="12BA7EC6"/>
    <w:rsid w:val="13116F0E"/>
    <w:rsid w:val="13132FCE"/>
    <w:rsid w:val="134A0035"/>
    <w:rsid w:val="135C7F4F"/>
    <w:rsid w:val="13814B1A"/>
    <w:rsid w:val="141B1C76"/>
    <w:rsid w:val="14A20FFB"/>
    <w:rsid w:val="153214F9"/>
    <w:rsid w:val="153372CB"/>
    <w:rsid w:val="16563130"/>
    <w:rsid w:val="169343E9"/>
    <w:rsid w:val="16AA08E2"/>
    <w:rsid w:val="16F24CA6"/>
    <w:rsid w:val="173D342E"/>
    <w:rsid w:val="174C5C47"/>
    <w:rsid w:val="177E36D0"/>
    <w:rsid w:val="180E362D"/>
    <w:rsid w:val="18787128"/>
    <w:rsid w:val="18B9619D"/>
    <w:rsid w:val="19032AF3"/>
    <w:rsid w:val="191242AE"/>
    <w:rsid w:val="19AC5C42"/>
    <w:rsid w:val="19BC1AC5"/>
    <w:rsid w:val="1A330485"/>
    <w:rsid w:val="1A7C1108"/>
    <w:rsid w:val="1AC37B9C"/>
    <w:rsid w:val="1AEF5DBD"/>
    <w:rsid w:val="1B423649"/>
    <w:rsid w:val="1BA24967"/>
    <w:rsid w:val="1BD95F94"/>
    <w:rsid w:val="1BDA5141"/>
    <w:rsid w:val="1BDF0F49"/>
    <w:rsid w:val="1C0222D2"/>
    <w:rsid w:val="1C3D1CD0"/>
    <w:rsid w:val="1C5E7298"/>
    <w:rsid w:val="1C851710"/>
    <w:rsid w:val="1C9F7BCD"/>
    <w:rsid w:val="1D8D798A"/>
    <w:rsid w:val="1DD575FA"/>
    <w:rsid w:val="1DDD518B"/>
    <w:rsid w:val="1DEE0D18"/>
    <w:rsid w:val="1E3072B7"/>
    <w:rsid w:val="1E403C53"/>
    <w:rsid w:val="1E5507DD"/>
    <w:rsid w:val="1E632DE0"/>
    <w:rsid w:val="1EA20D4A"/>
    <w:rsid w:val="1EAA6DF5"/>
    <w:rsid w:val="1EF81C6E"/>
    <w:rsid w:val="1EFF6958"/>
    <w:rsid w:val="1F0A1209"/>
    <w:rsid w:val="1F734328"/>
    <w:rsid w:val="1FA11974"/>
    <w:rsid w:val="1FD45DF8"/>
    <w:rsid w:val="2001694A"/>
    <w:rsid w:val="20203DE8"/>
    <w:rsid w:val="2031215C"/>
    <w:rsid w:val="204234FE"/>
    <w:rsid w:val="20955704"/>
    <w:rsid w:val="20DB7C51"/>
    <w:rsid w:val="20E9518E"/>
    <w:rsid w:val="20EF61EE"/>
    <w:rsid w:val="211313D4"/>
    <w:rsid w:val="21EB7268"/>
    <w:rsid w:val="21F86645"/>
    <w:rsid w:val="225E748E"/>
    <w:rsid w:val="22E93B36"/>
    <w:rsid w:val="234E7F45"/>
    <w:rsid w:val="23E32F6D"/>
    <w:rsid w:val="245B4D26"/>
    <w:rsid w:val="245B6D34"/>
    <w:rsid w:val="24B5447A"/>
    <w:rsid w:val="24B82068"/>
    <w:rsid w:val="24E10292"/>
    <w:rsid w:val="25043CC9"/>
    <w:rsid w:val="27306E68"/>
    <w:rsid w:val="27606908"/>
    <w:rsid w:val="277E77C1"/>
    <w:rsid w:val="27E26E59"/>
    <w:rsid w:val="2809471B"/>
    <w:rsid w:val="28255BB3"/>
    <w:rsid w:val="285478B9"/>
    <w:rsid w:val="287D5E75"/>
    <w:rsid w:val="28AD0B61"/>
    <w:rsid w:val="29423CBE"/>
    <w:rsid w:val="29CD3FA9"/>
    <w:rsid w:val="2A4B23FB"/>
    <w:rsid w:val="2AC82235"/>
    <w:rsid w:val="2AF0613E"/>
    <w:rsid w:val="2B083F92"/>
    <w:rsid w:val="2B4324C3"/>
    <w:rsid w:val="2B542A45"/>
    <w:rsid w:val="2B847004"/>
    <w:rsid w:val="2BE54292"/>
    <w:rsid w:val="2C5A11B8"/>
    <w:rsid w:val="2CD241A4"/>
    <w:rsid w:val="2CF51ED1"/>
    <w:rsid w:val="2CFA23BD"/>
    <w:rsid w:val="2D3B228A"/>
    <w:rsid w:val="2D5923F4"/>
    <w:rsid w:val="2DB6192E"/>
    <w:rsid w:val="2DF36570"/>
    <w:rsid w:val="2EB775B3"/>
    <w:rsid w:val="2EE85B84"/>
    <w:rsid w:val="2EF94A67"/>
    <w:rsid w:val="2F057BC3"/>
    <w:rsid w:val="2FAD5E95"/>
    <w:rsid w:val="302E07AF"/>
    <w:rsid w:val="30946552"/>
    <w:rsid w:val="311B0263"/>
    <w:rsid w:val="318F2922"/>
    <w:rsid w:val="31964DC5"/>
    <w:rsid w:val="319D3380"/>
    <w:rsid w:val="31AE180F"/>
    <w:rsid w:val="32742FA5"/>
    <w:rsid w:val="32A942B0"/>
    <w:rsid w:val="32F13120"/>
    <w:rsid w:val="333663A2"/>
    <w:rsid w:val="33E26367"/>
    <w:rsid w:val="33F614DE"/>
    <w:rsid w:val="347C3CC9"/>
    <w:rsid w:val="34914DCA"/>
    <w:rsid w:val="34C6331F"/>
    <w:rsid w:val="34D95BB9"/>
    <w:rsid w:val="352011B6"/>
    <w:rsid w:val="361C2353"/>
    <w:rsid w:val="3635547B"/>
    <w:rsid w:val="366F6F3F"/>
    <w:rsid w:val="36746B61"/>
    <w:rsid w:val="369809E2"/>
    <w:rsid w:val="36A9407C"/>
    <w:rsid w:val="36FA1D41"/>
    <w:rsid w:val="37C2178A"/>
    <w:rsid w:val="37D363A5"/>
    <w:rsid w:val="38011680"/>
    <w:rsid w:val="380411EC"/>
    <w:rsid w:val="38075D93"/>
    <w:rsid w:val="3829480D"/>
    <w:rsid w:val="383529C2"/>
    <w:rsid w:val="383C5BD0"/>
    <w:rsid w:val="38536D3F"/>
    <w:rsid w:val="388727CC"/>
    <w:rsid w:val="389E454F"/>
    <w:rsid w:val="39024B57"/>
    <w:rsid w:val="3A06167E"/>
    <w:rsid w:val="3A6F42D5"/>
    <w:rsid w:val="3A82293D"/>
    <w:rsid w:val="3A9E2AD9"/>
    <w:rsid w:val="3B2F3ADD"/>
    <w:rsid w:val="3BC23F1A"/>
    <w:rsid w:val="3C5503C9"/>
    <w:rsid w:val="3CD8469E"/>
    <w:rsid w:val="3D2E7413"/>
    <w:rsid w:val="3D966C01"/>
    <w:rsid w:val="3DA51E2F"/>
    <w:rsid w:val="3DB43891"/>
    <w:rsid w:val="3DD7776F"/>
    <w:rsid w:val="3EE00B8B"/>
    <w:rsid w:val="3F2F0CC5"/>
    <w:rsid w:val="3F8773B7"/>
    <w:rsid w:val="40325295"/>
    <w:rsid w:val="40F82E28"/>
    <w:rsid w:val="41585AC3"/>
    <w:rsid w:val="41B34CCB"/>
    <w:rsid w:val="420610DF"/>
    <w:rsid w:val="420A00AE"/>
    <w:rsid w:val="42782C5D"/>
    <w:rsid w:val="429544E1"/>
    <w:rsid w:val="42CE6929"/>
    <w:rsid w:val="42F71CEC"/>
    <w:rsid w:val="443B107F"/>
    <w:rsid w:val="44742484"/>
    <w:rsid w:val="449F6CE3"/>
    <w:rsid w:val="44B14540"/>
    <w:rsid w:val="44BA7E1E"/>
    <w:rsid w:val="44BE79C3"/>
    <w:rsid w:val="44DA7DEB"/>
    <w:rsid w:val="45CA31DA"/>
    <w:rsid w:val="45EC6821"/>
    <w:rsid w:val="45F303D0"/>
    <w:rsid w:val="464004CF"/>
    <w:rsid w:val="46762E68"/>
    <w:rsid w:val="46B51FCF"/>
    <w:rsid w:val="46BA0199"/>
    <w:rsid w:val="47052BA2"/>
    <w:rsid w:val="470541A1"/>
    <w:rsid w:val="47062A9A"/>
    <w:rsid w:val="47993F84"/>
    <w:rsid w:val="47B85588"/>
    <w:rsid w:val="47BB4319"/>
    <w:rsid w:val="47BD666C"/>
    <w:rsid w:val="480A17DC"/>
    <w:rsid w:val="484F0150"/>
    <w:rsid w:val="493C1E31"/>
    <w:rsid w:val="499C13DC"/>
    <w:rsid w:val="4A284A82"/>
    <w:rsid w:val="4A5E57AE"/>
    <w:rsid w:val="4A662E1D"/>
    <w:rsid w:val="4A7E32B4"/>
    <w:rsid w:val="4AFC533A"/>
    <w:rsid w:val="4B1367B9"/>
    <w:rsid w:val="4B316DE7"/>
    <w:rsid w:val="4C00102E"/>
    <w:rsid w:val="4C353BC7"/>
    <w:rsid w:val="4C5D54D6"/>
    <w:rsid w:val="4C814518"/>
    <w:rsid w:val="4C91315E"/>
    <w:rsid w:val="4CAD0872"/>
    <w:rsid w:val="4CCE50CA"/>
    <w:rsid w:val="4CCF0EC2"/>
    <w:rsid w:val="4D3A24A4"/>
    <w:rsid w:val="4D594475"/>
    <w:rsid w:val="4DB06342"/>
    <w:rsid w:val="4DEC01C6"/>
    <w:rsid w:val="4DF158ED"/>
    <w:rsid w:val="4E4D0205"/>
    <w:rsid w:val="4EC83A06"/>
    <w:rsid w:val="4F0B7DD0"/>
    <w:rsid w:val="4F130ADA"/>
    <w:rsid w:val="4F2C3853"/>
    <w:rsid w:val="4F7F20AA"/>
    <w:rsid w:val="4F873909"/>
    <w:rsid w:val="4FF617D6"/>
    <w:rsid w:val="506B2DFC"/>
    <w:rsid w:val="50E64646"/>
    <w:rsid w:val="513034BD"/>
    <w:rsid w:val="516500A0"/>
    <w:rsid w:val="516A6684"/>
    <w:rsid w:val="518C6DB2"/>
    <w:rsid w:val="51E261D3"/>
    <w:rsid w:val="526327EF"/>
    <w:rsid w:val="52803BE5"/>
    <w:rsid w:val="530A6497"/>
    <w:rsid w:val="532C26FC"/>
    <w:rsid w:val="53322A76"/>
    <w:rsid w:val="5380560E"/>
    <w:rsid w:val="53C54AA3"/>
    <w:rsid w:val="53F0775B"/>
    <w:rsid w:val="54A648D1"/>
    <w:rsid w:val="54E44ED6"/>
    <w:rsid w:val="55571991"/>
    <w:rsid w:val="5630437E"/>
    <w:rsid w:val="566931AC"/>
    <w:rsid w:val="56F374FB"/>
    <w:rsid w:val="57B17A36"/>
    <w:rsid w:val="590D2F44"/>
    <w:rsid w:val="59620232"/>
    <w:rsid w:val="5997350C"/>
    <w:rsid w:val="59A00F56"/>
    <w:rsid w:val="59B24039"/>
    <w:rsid w:val="5A31005C"/>
    <w:rsid w:val="5AB51781"/>
    <w:rsid w:val="5AD27471"/>
    <w:rsid w:val="5AD426E3"/>
    <w:rsid w:val="5B8D1AC1"/>
    <w:rsid w:val="5BA3592C"/>
    <w:rsid w:val="5C5621AF"/>
    <w:rsid w:val="5C610721"/>
    <w:rsid w:val="5C8B6FF1"/>
    <w:rsid w:val="5CE65847"/>
    <w:rsid w:val="5CFE4143"/>
    <w:rsid w:val="5D0D3FF0"/>
    <w:rsid w:val="5D5A0338"/>
    <w:rsid w:val="5E204AD7"/>
    <w:rsid w:val="5E4C6102"/>
    <w:rsid w:val="5E6D4BC0"/>
    <w:rsid w:val="5EEA5BA3"/>
    <w:rsid w:val="5F3E69CE"/>
    <w:rsid w:val="5F9B7432"/>
    <w:rsid w:val="6009519E"/>
    <w:rsid w:val="60A57CCE"/>
    <w:rsid w:val="60AD5F5F"/>
    <w:rsid w:val="60E30438"/>
    <w:rsid w:val="612D3C7B"/>
    <w:rsid w:val="61826F89"/>
    <w:rsid w:val="61835CD6"/>
    <w:rsid w:val="61D35C88"/>
    <w:rsid w:val="623E2101"/>
    <w:rsid w:val="62664B3C"/>
    <w:rsid w:val="62947A1C"/>
    <w:rsid w:val="62CD6DE1"/>
    <w:rsid w:val="62E70A4E"/>
    <w:rsid w:val="62FD4A9D"/>
    <w:rsid w:val="632C6FC4"/>
    <w:rsid w:val="634B3FF6"/>
    <w:rsid w:val="63981934"/>
    <w:rsid w:val="64460ECC"/>
    <w:rsid w:val="644F5E22"/>
    <w:rsid w:val="64681DB1"/>
    <w:rsid w:val="647B5C16"/>
    <w:rsid w:val="64902A98"/>
    <w:rsid w:val="64D843A5"/>
    <w:rsid w:val="652B7ADD"/>
    <w:rsid w:val="65FC7053"/>
    <w:rsid w:val="661F188C"/>
    <w:rsid w:val="663B46C9"/>
    <w:rsid w:val="663F30CF"/>
    <w:rsid w:val="66D62BC2"/>
    <w:rsid w:val="67413BF6"/>
    <w:rsid w:val="6755359A"/>
    <w:rsid w:val="67A7418D"/>
    <w:rsid w:val="67D27C62"/>
    <w:rsid w:val="67DF6978"/>
    <w:rsid w:val="694E04D2"/>
    <w:rsid w:val="69664034"/>
    <w:rsid w:val="697F0C22"/>
    <w:rsid w:val="698044A5"/>
    <w:rsid w:val="6A2C0018"/>
    <w:rsid w:val="6A510F7A"/>
    <w:rsid w:val="6A601DA8"/>
    <w:rsid w:val="6AA67E64"/>
    <w:rsid w:val="6B0D712F"/>
    <w:rsid w:val="6B28575B"/>
    <w:rsid w:val="6BE4485D"/>
    <w:rsid w:val="6C3B431E"/>
    <w:rsid w:val="6C857DA8"/>
    <w:rsid w:val="6CC1587C"/>
    <w:rsid w:val="6D2B74AA"/>
    <w:rsid w:val="6D697BC3"/>
    <w:rsid w:val="6D7111BC"/>
    <w:rsid w:val="6D733121"/>
    <w:rsid w:val="6DCA5CB9"/>
    <w:rsid w:val="6E280F38"/>
    <w:rsid w:val="6E8A21F7"/>
    <w:rsid w:val="6F2867BD"/>
    <w:rsid w:val="6F44559B"/>
    <w:rsid w:val="6FEC4EFB"/>
    <w:rsid w:val="703A2630"/>
    <w:rsid w:val="709C594C"/>
    <w:rsid w:val="70CD2945"/>
    <w:rsid w:val="719936C4"/>
    <w:rsid w:val="71D05F49"/>
    <w:rsid w:val="72605B7B"/>
    <w:rsid w:val="73090FE2"/>
    <w:rsid w:val="73265607"/>
    <w:rsid w:val="73F82EA2"/>
    <w:rsid w:val="7435596C"/>
    <w:rsid w:val="74722C9A"/>
    <w:rsid w:val="747E452E"/>
    <w:rsid w:val="74FA5A4A"/>
    <w:rsid w:val="74FC499C"/>
    <w:rsid w:val="755F161D"/>
    <w:rsid w:val="75884210"/>
    <w:rsid w:val="75B66C99"/>
    <w:rsid w:val="75BD4A84"/>
    <w:rsid w:val="75EA7003"/>
    <w:rsid w:val="760D56E2"/>
    <w:rsid w:val="76EE218C"/>
    <w:rsid w:val="770F41E6"/>
    <w:rsid w:val="772B585D"/>
    <w:rsid w:val="772E0B03"/>
    <w:rsid w:val="778A542A"/>
    <w:rsid w:val="77C177F8"/>
    <w:rsid w:val="77CC1561"/>
    <w:rsid w:val="77EF5E51"/>
    <w:rsid w:val="79332F0B"/>
    <w:rsid w:val="79571393"/>
    <w:rsid w:val="79C11BD2"/>
    <w:rsid w:val="79E8078D"/>
    <w:rsid w:val="7A3422EE"/>
    <w:rsid w:val="7A4774F3"/>
    <w:rsid w:val="7AA678C6"/>
    <w:rsid w:val="7B113087"/>
    <w:rsid w:val="7B5441DD"/>
    <w:rsid w:val="7B9E2E7D"/>
    <w:rsid w:val="7BEA35A6"/>
    <w:rsid w:val="7C050B07"/>
    <w:rsid w:val="7C616E87"/>
    <w:rsid w:val="7C9E7A01"/>
    <w:rsid w:val="7D211E15"/>
    <w:rsid w:val="7D2E186E"/>
    <w:rsid w:val="7D8F4D8B"/>
    <w:rsid w:val="7DBA4407"/>
    <w:rsid w:val="7DD14D63"/>
    <w:rsid w:val="7E0773D0"/>
    <w:rsid w:val="7E5D66DD"/>
    <w:rsid w:val="7E734104"/>
    <w:rsid w:val="7EEE5FCC"/>
    <w:rsid w:val="7F2E279D"/>
    <w:rsid w:val="7F60044C"/>
    <w:rsid w:val="7F7054DF"/>
    <w:rsid w:val="7F880165"/>
    <w:rsid w:val="7FCD206D"/>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basedOn w:val="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0</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2024-04-03T09:13:05Z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8CCFA139795941E6882BFA956C681C2A</vt:lpwstr>
  </property>
</Properties>
</file>